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084" w:rsidRPr="008A2084" w:rsidRDefault="008A2084" w:rsidP="008A2084">
      <w:pPr>
        <w:spacing w:before="200"/>
        <w:jc w:val="center"/>
        <w:outlineLvl w:val="1"/>
        <w:rPr>
          <w:rFonts w:ascii="Kristen ITC" w:eastAsia="Times New Roman" w:hAnsi="Kristen ITC" w:cs="Times New Roman"/>
          <w:b/>
          <w:bCs/>
          <w:szCs w:val="26"/>
        </w:rPr>
      </w:pPr>
      <w:r w:rsidRPr="008A2084">
        <w:rPr>
          <w:rFonts w:eastAsia="Times New Roman" w:cs="Times New Roman"/>
          <w:b/>
          <w:bCs/>
          <w:szCs w:val="26"/>
        </w:rPr>
        <w:t xml:space="preserve">Artículo </w:t>
      </w:r>
      <w:r w:rsidRPr="008A2084">
        <w:rPr>
          <w:rFonts w:ascii="Kristen ITC" w:eastAsia="Times New Roman" w:hAnsi="Kristen ITC" w:cs="Times New Roman"/>
          <w:b/>
          <w:bCs/>
          <w:color w:val="0070C0"/>
          <w:szCs w:val="26"/>
        </w:rPr>
        <w:t xml:space="preserve">10. Derecho </w:t>
      </w:r>
      <w:r w:rsidRPr="008A2084">
        <w:rPr>
          <w:rFonts w:ascii="Kristen ITC" w:eastAsia="Times New Roman" w:hAnsi="Kristen ITC" w:cs="Times New Roman"/>
          <w:b/>
          <w:bCs/>
          <w:szCs w:val="26"/>
        </w:rPr>
        <w:t>De los padres de familia</w:t>
      </w:r>
    </w:p>
    <w:p w:rsidR="008A2084" w:rsidRPr="008A2084" w:rsidRDefault="008A2084" w:rsidP="008A2084">
      <w:pPr>
        <w:rPr>
          <w:rFonts w:eastAsia="Calibri" w:cs="Times New Roman"/>
          <w:lang w:val="es-CO"/>
        </w:rPr>
      </w:pPr>
    </w:p>
    <w:p w:rsidR="008A2084" w:rsidRPr="008A2084" w:rsidRDefault="008A2084" w:rsidP="008A2084">
      <w:pPr>
        <w:rPr>
          <w:rFonts w:eastAsia="Calibri" w:cs="Times New Roman"/>
          <w:lang w:val="es-CO"/>
        </w:rPr>
      </w:pPr>
      <w:r w:rsidRPr="001011D9">
        <w:rPr>
          <w:rFonts w:cs="Cambria"/>
          <w:noProof/>
          <w:color w:val="0070C0"/>
          <w:sz w:val="44"/>
          <w:szCs w:val="44"/>
          <w:lang w:val="es-CO" w:eastAsia="es-CO"/>
        </w:rPr>
        <w:drawing>
          <wp:anchor distT="0" distB="0" distL="114300" distR="114300" simplePos="0" relativeHeight="251658240" behindDoc="1" locked="0" layoutInCell="1" allowOverlap="1" wp14:anchorId="0D3A967B" wp14:editId="1BAB9260">
            <wp:simplePos x="0" y="0"/>
            <wp:positionH relativeFrom="margin">
              <wp:align>center</wp:align>
            </wp:positionH>
            <wp:positionV relativeFrom="paragraph">
              <wp:posOffset>95885</wp:posOffset>
            </wp:positionV>
            <wp:extent cx="3981450" cy="4829175"/>
            <wp:effectExtent l="0" t="0" r="0" b="9525"/>
            <wp:wrapNone/>
            <wp:docPr id="3" name="Imagen 3" descr="G:\reunión de  padres y logos del cole\Escudo y logo Jack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unión de  padres y logos del cole\Escudo y logo Jackeline.jpg"/>
                    <pic:cNvPicPr>
                      <a:picLocks noChangeAspect="1" noChangeArrowheads="1"/>
                    </pic:cNvPicPr>
                  </pic:nvPicPr>
                  <pic:blipFill rotWithShape="1">
                    <a:blip r:embed="rId5">
                      <a:extLst>
                        <a:ext uri="{28A0092B-C50C-407E-A947-70E740481C1C}">
                          <a14:useLocalDpi xmlns:a14="http://schemas.microsoft.com/office/drawing/2010/main" val="0"/>
                        </a:ext>
                      </a:extLst>
                    </a:blip>
                    <a:srcRect l="32927" t="859" r="43651" b="69745"/>
                    <a:stretch/>
                  </pic:blipFill>
                  <pic:spPr bwMode="auto">
                    <a:xfrm>
                      <a:off x="0" y="0"/>
                      <a:ext cx="3981450" cy="4829175"/>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A2084">
        <w:rPr>
          <w:rFonts w:eastAsia="Calibri" w:cs="Times New Roman"/>
          <w:lang w:val="es-CO"/>
        </w:rPr>
        <w:t xml:space="preserve">Aunque el Estado asume una responsabilidad en la prestación de la educación, los padres son quienes toman la decisión de escoger aquella que estiman conveniente para sus hijos. (Art. 68 inciso 5º de la Carta). En consecuencia, son derechos de los padres de familia en relación con la educación de sus hijos los siguientes: </w:t>
      </w:r>
    </w:p>
    <w:p w:rsidR="008A2084" w:rsidRPr="008A2084" w:rsidRDefault="008A2084" w:rsidP="008A2084">
      <w:pPr>
        <w:numPr>
          <w:ilvl w:val="0"/>
          <w:numId w:val="1"/>
        </w:numPr>
        <w:spacing w:before="100" w:beforeAutospacing="1" w:after="100" w:afterAutospacing="1"/>
        <w:ind w:left="567" w:hanging="207"/>
        <w:jc w:val="both"/>
        <w:rPr>
          <w:rFonts w:eastAsia="Calibri" w:cs="Times New Roman"/>
          <w:lang w:val="es-CO"/>
        </w:rPr>
        <w:sectPr w:rsidR="008A2084" w:rsidRPr="008A2084" w:rsidSect="008A2084">
          <w:headerReference w:type="default" r:id="rId6"/>
          <w:pgSz w:w="9526" w:h="13495" w:code="1"/>
          <w:pgMar w:top="1134" w:right="851" w:bottom="1418" w:left="851" w:header="709" w:footer="709" w:gutter="0"/>
          <w:cols w:sep="1" w:space="227"/>
          <w:docGrid w:linePitch="360"/>
        </w:sectPr>
      </w:pPr>
    </w:p>
    <w:p w:rsidR="008A2084" w:rsidRPr="008A2084" w:rsidRDefault="008A2084" w:rsidP="008A2084">
      <w:pPr>
        <w:numPr>
          <w:ilvl w:val="0"/>
          <w:numId w:val="1"/>
        </w:numPr>
        <w:spacing w:before="100" w:beforeAutospacing="1" w:after="100" w:afterAutospacing="1"/>
        <w:ind w:left="567" w:hanging="207"/>
        <w:jc w:val="both"/>
        <w:rPr>
          <w:rFonts w:eastAsia="Calibri" w:cs="Times New Roman"/>
          <w:lang w:val="es-CO"/>
        </w:rPr>
      </w:pPr>
      <w:r w:rsidRPr="008A2084">
        <w:rPr>
          <w:rFonts w:eastAsia="Calibri" w:cs="Times New Roman"/>
          <w:lang w:val="es-CO"/>
        </w:rPr>
        <w:lastRenderedPageBreak/>
        <w:t xml:space="preserve">Conocer las características del colegio, los principios que orientan el PEI, el manual de convivencia, el plan de estudios, las estrategias pedagógicas, el sistema de evaluación y el plan de transformación institucional; </w:t>
      </w:r>
    </w:p>
    <w:p w:rsidR="008A2084" w:rsidRPr="008A2084" w:rsidRDefault="008A2084" w:rsidP="008A2084">
      <w:pPr>
        <w:numPr>
          <w:ilvl w:val="0"/>
          <w:numId w:val="1"/>
        </w:numPr>
        <w:spacing w:before="100" w:beforeAutospacing="1" w:after="100" w:afterAutospacing="1"/>
        <w:ind w:left="567" w:hanging="207"/>
        <w:jc w:val="both"/>
        <w:rPr>
          <w:rFonts w:eastAsia="Calibri" w:cs="Times New Roman"/>
          <w:lang w:val="es-CO"/>
        </w:rPr>
      </w:pPr>
      <w:r w:rsidRPr="008A2084">
        <w:rPr>
          <w:rFonts w:eastAsia="Calibri" w:cs="Times New Roman"/>
          <w:lang w:val="es-CO"/>
        </w:rPr>
        <w:t>Expresar con respeto y por conducto regular sus opiniones respecto del proceso educativo y sobre la idoneidad de docentes y directivos;</w:t>
      </w:r>
    </w:p>
    <w:p w:rsidR="008A2084" w:rsidRPr="008A2084" w:rsidRDefault="008A2084" w:rsidP="008A2084">
      <w:pPr>
        <w:numPr>
          <w:ilvl w:val="0"/>
          <w:numId w:val="1"/>
        </w:numPr>
        <w:spacing w:before="100" w:beforeAutospacing="1" w:after="100" w:afterAutospacing="1"/>
        <w:ind w:left="567" w:hanging="207"/>
        <w:jc w:val="both"/>
        <w:rPr>
          <w:rFonts w:eastAsia="Calibri" w:cs="Times New Roman"/>
          <w:lang w:val="es-CO"/>
        </w:rPr>
      </w:pPr>
      <w:r w:rsidRPr="008A2084">
        <w:rPr>
          <w:rFonts w:eastAsia="Calibri" w:cs="Times New Roman"/>
          <w:lang w:val="es-CO"/>
        </w:rPr>
        <w:t>Participar en el proceso educativo y en la transformación del PEI;</w:t>
      </w:r>
    </w:p>
    <w:p w:rsidR="008A2084" w:rsidRPr="008A2084" w:rsidRDefault="008A2084" w:rsidP="008A2084">
      <w:pPr>
        <w:numPr>
          <w:ilvl w:val="0"/>
          <w:numId w:val="1"/>
        </w:numPr>
        <w:spacing w:before="100" w:beforeAutospacing="1" w:after="100" w:afterAutospacing="1"/>
        <w:ind w:left="567" w:hanging="207"/>
        <w:jc w:val="both"/>
        <w:rPr>
          <w:rFonts w:eastAsia="Calibri" w:cs="Times New Roman"/>
          <w:lang w:val="es-CO"/>
        </w:rPr>
      </w:pPr>
      <w:r w:rsidRPr="008A2084">
        <w:rPr>
          <w:rFonts w:eastAsia="Calibri" w:cs="Times New Roman"/>
          <w:lang w:val="es-CO"/>
        </w:rPr>
        <w:t xml:space="preserve">Recibir respuesta a sus peticiones sobre la marcha del Colegio y sobre los asuntos que afecten el proceso educativo; </w:t>
      </w:r>
    </w:p>
    <w:p w:rsidR="008A2084" w:rsidRPr="008A2084" w:rsidRDefault="008A2084" w:rsidP="008A2084">
      <w:pPr>
        <w:numPr>
          <w:ilvl w:val="0"/>
          <w:numId w:val="1"/>
        </w:numPr>
        <w:spacing w:before="100" w:beforeAutospacing="1" w:after="100" w:afterAutospacing="1"/>
        <w:ind w:left="567" w:hanging="207"/>
        <w:jc w:val="both"/>
        <w:rPr>
          <w:rFonts w:eastAsia="Calibri" w:cs="Times New Roman"/>
          <w:lang w:val="es-CO"/>
        </w:rPr>
      </w:pPr>
      <w:r w:rsidRPr="008A2084">
        <w:rPr>
          <w:rFonts w:eastAsia="Calibri" w:cs="Times New Roman"/>
          <w:lang w:val="es-CO"/>
        </w:rPr>
        <w:t xml:space="preserve">Recibir en forma periódica información sobre el rendimiento académico y el comportamiento de sus hijos; </w:t>
      </w:r>
    </w:p>
    <w:p w:rsidR="008A2084" w:rsidRPr="008A2084" w:rsidRDefault="008A2084" w:rsidP="008A2084">
      <w:pPr>
        <w:numPr>
          <w:ilvl w:val="0"/>
          <w:numId w:val="1"/>
        </w:numPr>
        <w:spacing w:before="100" w:beforeAutospacing="1" w:after="100" w:afterAutospacing="1"/>
        <w:ind w:left="567" w:hanging="207"/>
        <w:jc w:val="both"/>
        <w:rPr>
          <w:rFonts w:eastAsia="Calibri" w:cs="Times New Roman"/>
          <w:lang w:val="es-CO"/>
        </w:rPr>
      </w:pPr>
      <w:r w:rsidRPr="008A2084">
        <w:rPr>
          <w:rFonts w:eastAsia="Calibri" w:cs="Times New Roman"/>
          <w:lang w:val="es-CO"/>
        </w:rPr>
        <w:t xml:space="preserve">Conocer la información sobre los resultados de la evaluación del servicio educativo y del colegio; </w:t>
      </w:r>
    </w:p>
    <w:p w:rsidR="008A2084" w:rsidRPr="008A2084" w:rsidRDefault="008A2084" w:rsidP="008A2084">
      <w:pPr>
        <w:numPr>
          <w:ilvl w:val="0"/>
          <w:numId w:val="1"/>
        </w:numPr>
        <w:spacing w:before="100" w:beforeAutospacing="1" w:after="100" w:afterAutospacing="1"/>
        <w:ind w:left="567" w:hanging="207"/>
        <w:jc w:val="both"/>
        <w:rPr>
          <w:rFonts w:eastAsia="Calibri" w:cs="Times New Roman"/>
          <w:lang w:val="es-CO"/>
        </w:rPr>
      </w:pPr>
      <w:r w:rsidRPr="008A2084">
        <w:rPr>
          <w:rFonts w:eastAsia="Calibri" w:cs="Times New Roman"/>
          <w:lang w:val="es-CO"/>
        </w:rPr>
        <w:lastRenderedPageBreak/>
        <w:t xml:space="preserve">Elegir y ser elegido para representar a los padres de familia en los órganos de gobierno escolar y ante las autoridades; </w:t>
      </w:r>
    </w:p>
    <w:p w:rsidR="008A2084" w:rsidRPr="008A2084" w:rsidRDefault="008A2084" w:rsidP="008A2084">
      <w:pPr>
        <w:numPr>
          <w:ilvl w:val="0"/>
          <w:numId w:val="1"/>
        </w:numPr>
        <w:spacing w:before="100" w:beforeAutospacing="1" w:after="100" w:afterAutospacing="1"/>
        <w:ind w:left="567" w:hanging="207"/>
        <w:jc w:val="both"/>
        <w:rPr>
          <w:rFonts w:eastAsia="Calibri" w:cs="Times New Roman"/>
          <w:lang w:val="es-CO"/>
        </w:rPr>
      </w:pPr>
      <w:r w:rsidRPr="008A2084">
        <w:rPr>
          <w:rFonts w:eastAsia="Calibri" w:cs="Times New Roman"/>
          <w:lang w:val="es-CO"/>
        </w:rPr>
        <w:t>Ejercer el derecho de asociación para mejorar los procesos educativos, la capacitación de los padres en los asuntos que atañen a la educación y el desarrollo de sus hijos.</w:t>
      </w:r>
    </w:p>
    <w:p w:rsidR="008A2084" w:rsidRPr="008A2084" w:rsidRDefault="008A2084" w:rsidP="008A2084">
      <w:pPr>
        <w:numPr>
          <w:ilvl w:val="0"/>
          <w:numId w:val="1"/>
        </w:numPr>
        <w:spacing w:before="100" w:beforeAutospacing="1" w:after="100" w:afterAutospacing="1"/>
        <w:ind w:left="567" w:hanging="207"/>
        <w:jc w:val="both"/>
        <w:rPr>
          <w:rFonts w:eastAsia="Calibri" w:cs="Times New Roman"/>
        </w:rPr>
        <w:sectPr w:rsidR="008A2084" w:rsidRPr="008A2084" w:rsidSect="00F6616A">
          <w:type w:val="continuous"/>
          <w:pgSz w:w="9526" w:h="13495" w:code="1"/>
          <w:pgMar w:top="1134" w:right="851" w:bottom="1418" w:left="851" w:header="709" w:footer="709" w:gutter="0"/>
          <w:cols w:num="2" w:sep="1" w:space="284"/>
          <w:docGrid w:linePitch="360"/>
        </w:sectPr>
      </w:pPr>
      <w:r w:rsidRPr="008A2084">
        <w:rPr>
          <w:rFonts w:eastAsia="Calibri" w:cs="Times New Roman"/>
          <w:lang w:val="es-CO"/>
        </w:rPr>
        <w:t xml:space="preserve">Conocer y ser orientado sobre el conducto regular en caso de reclamos respecto a situaciones de convivencia </w:t>
      </w:r>
      <w:r>
        <w:rPr>
          <w:rFonts w:eastAsia="Calibri" w:cs="Times New Roman"/>
          <w:lang w:val="es-CO"/>
        </w:rPr>
        <w:t>o de desempeño de sus hijos(as)</w:t>
      </w:r>
      <w:bookmarkStart w:id="0" w:name="_GoBack"/>
      <w:bookmarkEnd w:id="0"/>
    </w:p>
    <w:p w:rsidR="00C90068" w:rsidRDefault="008A2084"/>
    <w:sectPr w:rsidR="00C9006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risten ITC">
    <w:panose1 w:val="03050502040202030202"/>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dusRoman">
    <w:altName w:val="Kartik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096" w:rsidRPr="00B051AC" w:rsidRDefault="008A2084" w:rsidP="002740CA">
    <w:pPr>
      <w:pStyle w:val="Encabezado"/>
      <w:rPr>
        <w:b/>
      </w:rPr>
    </w:pPr>
    <w:r>
      <w:rPr>
        <w:rFonts w:asciiTheme="majorHAnsi" w:eastAsiaTheme="majorEastAsia" w:hAnsiTheme="majorHAnsi" w:cstheme="majorBidi"/>
        <w:sz w:val="28"/>
        <w:szCs w:val="28"/>
      </w:rPr>
      <w:t xml:space="preserve">    </w:t>
    </w:r>
    <w:r w:rsidRPr="00B051AC">
      <w:rPr>
        <w:rFonts w:ascii="Kristen ITC" w:eastAsiaTheme="majorEastAsia" w:hAnsi="Kristen ITC" w:cstheme="majorBidi"/>
        <w:sz w:val="16"/>
        <w:szCs w:val="16"/>
      </w:rPr>
      <w:t>Página</w:t>
    </w:r>
    <w:r>
      <w:rPr>
        <w:rFonts w:asciiTheme="majorHAnsi" w:eastAsiaTheme="majorEastAsia" w:hAnsiTheme="majorHAnsi" w:cstheme="majorBidi"/>
        <w:sz w:val="28"/>
        <w:szCs w:val="28"/>
      </w:rPr>
      <w:t xml:space="preserve"> </w:t>
    </w:r>
    <w:r w:rsidRPr="00B051AC">
      <w:rPr>
        <w:rFonts w:asciiTheme="majorHAnsi" w:eastAsiaTheme="majorEastAsia" w:hAnsiTheme="majorHAnsi" w:cstheme="majorBidi"/>
        <w:b/>
        <w:sz w:val="28"/>
        <w:szCs w:val="28"/>
      </w:rPr>
      <w:t xml:space="preserve">~ </w:t>
    </w:r>
    <w:r w:rsidRPr="00B051AC">
      <w:rPr>
        <w:rFonts w:asciiTheme="minorHAnsi" w:eastAsiaTheme="minorEastAsia" w:hAnsiTheme="minorHAnsi"/>
        <w:b/>
        <w:sz w:val="22"/>
      </w:rPr>
      <w:fldChar w:fldCharType="begin"/>
    </w:r>
    <w:r w:rsidRPr="00B051AC">
      <w:rPr>
        <w:b/>
      </w:rPr>
      <w:instrText>PAGE    \* MERGEFORMAT</w:instrText>
    </w:r>
    <w:r w:rsidRPr="00B051AC">
      <w:rPr>
        <w:rFonts w:asciiTheme="minorHAnsi" w:eastAsiaTheme="minorEastAsia" w:hAnsiTheme="minorHAnsi"/>
        <w:b/>
        <w:sz w:val="22"/>
      </w:rPr>
      <w:fldChar w:fldCharType="separate"/>
    </w:r>
    <w:r w:rsidRPr="008A2084">
      <w:rPr>
        <w:rFonts w:asciiTheme="majorHAnsi" w:eastAsiaTheme="majorEastAsia" w:hAnsiTheme="majorHAnsi" w:cstheme="majorBidi"/>
        <w:b/>
        <w:noProof/>
        <w:sz w:val="28"/>
        <w:szCs w:val="28"/>
      </w:rPr>
      <w:t>1</w:t>
    </w:r>
    <w:r w:rsidRPr="00B051AC">
      <w:rPr>
        <w:rFonts w:asciiTheme="majorHAnsi" w:eastAsiaTheme="majorEastAsia" w:hAnsiTheme="majorHAnsi" w:cstheme="majorBidi"/>
        <w:b/>
        <w:sz w:val="28"/>
        <w:szCs w:val="28"/>
      </w:rPr>
      <w:fldChar w:fldCharType="end"/>
    </w:r>
    <w:r w:rsidRPr="00B051AC">
      <w:rPr>
        <w:rFonts w:asciiTheme="majorHAnsi" w:eastAsiaTheme="majorEastAsia" w:hAnsiTheme="majorHAnsi" w:cstheme="majorBidi"/>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87A7A"/>
    <w:multiLevelType w:val="hybridMultilevel"/>
    <w:tmpl w:val="B470B022"/>
    <w:lvl w:ilvl="0" w:tplc="731EBB3C">
      <w:start w:val="1"/>
      <w:numFmt w:val="lowerLetter"/>
      <w:lvlText w:val="%1)"/>
      <w:lvlJc w:val="left"/>
      <w:pPr>
        <w:ind w:left="720" w:hanging="360"/>
      </w:pPr>
      <w:rPr>
        <w:rFonts w:ascii="Kristen ITC" w:hAnsi="Kristen ITC" w:hint="default"/>
        <w:color w:val="0070C0"/>
        <w:sz w:val="16"/>
        <w:szCs w:val="16"/>
      </w:rPr>
    </w:lvl>
    <w:lvl w:ilvl="1" w:tplc="999A3BC6">
      <w:start w:val="1"/>
      <w:numFmt w:val="decimal"/>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7E"/>
    <w:rsid w:val="001011D9"/>
    <w:rsid w:val="0050057E"/>
    <w:rsid w:val="006B24C5"/>
    <w:rsid w:val="008A2084"/>
    <w:rsid w:val="00987A2B"/>
    <w:rsid w:val="00A208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4F8D360-9CEA-4DBE-85D0-8A79DAD8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4C5"/>
    <w:pPr>
      <w:spacing w:after="0" w:line="240" w:lineRule="auto"/>
    </w:pPr>
    <w:rPr>
      <w:rFonts w:ascii="AldusRoman" w:hAnsi="AldusRoman"/>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A2084"/>
    <w:pPr>
      <w:tabs>
        <w:tab w:val="center" w:pos="4419"/>
        <w:tab w:val="right" w:pos="8838"/>
      </w:tabs>
    </w:pPr>
  </w:style>
  <w:style w:type="character" w:customStyle="1" w:styleId="EncabezadoCar">
    <w:name w:val="Encabezado Car"/>
    <w:basedOn w:val="Fuentedeprrafopredeter"/>
    <w:link w:val="Encabezado"/>
    <w:uiPriority w:val="99"/>
    <w:semiHidden/>
    <w:rsid w:val="008A2084"/>
    <w:rPr>
      <w:rFonts w:ascii="AldusRoman" w:hAnsi="AldusRoman"/>
      <w:sz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239</Words>
  <Characters>1317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Odry Esperanza Millar Montañez</dc:creator>
  <cp:keywords/>
  <dc:description/>
  <cp:lastModifiedBy>Odry Esperanza Millar Montañez</cp:lastModifiedBy>
  <cp:revision>1</cp:revision>
  <dcterms:created xsi:type="dcterms:W3CDTF">2015-02-05T19:29:00Z</dcterms:created>
  <dcterms:modified xsi:type="dcterms:W3CDTF">2015-02-05T20:29:00Z</dcterms:modified>
</cp:coreProperties>
</file>